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E95B1C" w:rsidR="00E95B1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86MS0041-01-2026-000615-82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</w:t>
      </w:r>
      <w:r w:rsidR="0022173A">
        <w:rPr>
          <w:rFonts w:ascii="Times New Roman" w:hAnsi="Times New Roman"/>
          <w:b w:val="0"/>
          <w:sz w:val="26"/>
          <w:szCs w:val="26"/>
        </w:rPr>
        <w:t>7</w:t>
      </w:r>
      <w:r w:rsidR="007907EC">
        <w:rPr>
          <w:rFonts w:ascii="Times New Roman" w:hAnsi="Times New Roman"/>
          <w:b w:val="0"/>
          <w:sz w:val="26"/>
          <w:szCs w:val="26"/>
        </w:rPr>
        <w:t>3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647625">
        <w:rPr>
          <w:sz w:val="26"/>
          <w:szCs w:val="26"/>
        </w:rPr>
        <w:t>22046084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22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647625">
        <w:rPr>
          <w:sz w:val="26"/>
          <w:szCs w:val="26"/>
        </w:rPr>
        <w:t>2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647625">
        <w:rPr>
          <w:sz w:val="26"/>
          <w:szCs w:val="26"/>
        </w:rPr>
        <w:t xml:space="preserve">18810572250922046084 </w:t>
      </w:r>
      <w:r w:rsidRPr="004F3A7A" w:rsidR="00647625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22.09.2025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647625">
        <w:rPr>
          <w:sz w:val="26"/>
          <w:szCs w:val="26"/>
        </w:rPr>
        <w:t>2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647625">
        <w:rPr>
          <w:sz w:val="26"/>
          <w:szCs w:val="26"/>
        </w:rPr>
        <w:t xml:space="preserve">18810572250922046084 </w:t>
      </w:r>
      <w:r w:rsidRPr="004F3A7A" w:rsidR="00647625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22.09.2025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E95B1C" w:rsidR="00E95B1C">
        <w:rPr>
          <w:lang w:eastAsia="en-US"/>
        </w:rPr>
        <w:t>0412365400415001732620177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EC60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60B7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A304-1726-4C3F-859B-16F18684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